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Calibri" w:hAnsi="Calibri"/>
          <w:b/>
          <w:i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sz w:val="24"/>
          <w:szCs w:val="20"/>
          <w:lang w:val="en-US" w:eastAsia="en-US" w:bidi="ar-SA"/>
        </w:rPr>
        <w:pict>
          <v:shape id="Picture Frame 1025" o:spid="_x0000_s1026" type="#_x0000_t75" style="height:35.25pt;width:10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Calibri" w:hAnsi="Calibri"/>
          <w:b/>
          <w:iCs/>
          <w:sz w:val="22"/>
          <w:szCs w:val="22"/>
          <w:u w:val="single"/>
        </w:rPr>
      </w:pPr>
    </w:p>
    <w:p>
      <w:pPr>
        <w:rPr>
          <w:rFonts w:ascii="Calibri" w:hAnsi="Calibri"/>
          <w:b/>
          <w:iCs/>
          <w:sz w:val="22"/>
          <w:szCs w:val="22"/>
          <w:u w:val="single"/>
        </w:rPr>
      </w:pPr>
      <w:bookmarkStart w:id="0" w:name="_GoBack"/>
      <w:bookmarkEnd w:id="0"/>
    </w:p>
    <w:p>
      <w:pPr>
        <w:rPr>
          <w:rFonts w:ascii="Calibri" w:hAnsi="Calibri"/>
          <w:b/>
          <w:iCs/>
          <w:sz w:val="22"/>
          <w:szCs w:val="22"/>
          <w:u w:val="single"/>
        </w:rPr>
      </w:pPr>
      <w:r>
        <w:rPr>
          <w:rFonts w:ascii="Calibri" w:hAnsi="Calibri"/>
          <w:b/>
          <w:iCs/>
          <w:sz w:val="22"/>
          <w:szCs w:val="22"/>
          <w:u w:val="single"/>
        </w:rPr>
        <w:t xml:space="preserve">Quarterly Compliance Report on Corporate Governance </w:t>
      </w:r>
    </w:p>
    <w:p>
      <w:pPr>
        <w:rPr>
          <w:rFonts w:ascii="Calibri" w:hAnsi="Calibri"/>
          <w:b/>
          <w:iCs/>
          <w:sz w:val="22"/>
          <w:szCs w:val="22"/>
        </w:rPr>
      </w:pPr>
    </w:p>
    <w:p>
      <w:pPr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Inox Leisure Limited</w:t>
      </w:r>
      <w:r>
        <w:rPr>
          <w:rFonts w:ascii="Calibri" w:hAnsi="Calibri"/>
          <w:b/>
          <w:iCs/>
          <w:sz w:val="22"/>
          <w:szCs w:val="22"/>
        </w:rPr>
        <w:tab/>
      </w:r>
    </w:p>
    <w:p>
      <w:pPr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Clause 49: Quarter ending on: 3</w:t>
      </w:r>
      <w:r>
        <w:rPr>
          <w:rFonts w:ascii="Calibri" w:hAnsi="Calibri"/>
          <w:b/>
          <w:iCs/>
          <w:sz w:val="22"/>
          <w:szCs w:val="22"/>
          <w:lang w:val="en-US"/>
        </w:rPr>
        <w:t>0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>
        <w:rPr>
          <w:rFonts w:ascii="Calibri" w:hAnsi="Calibri"/>
          <w:b/>
          <w:iCs/>
          <w:sz w:val="22"/>
          <w:szCs w:val="22"/>
          <w:lang w:val="en-US"/>
        </w:rPr>
        <w:t>June</w:t>
      </w:r>
      <w:r>
        <w:rPr>
          <w:rFonts w:ascii="Calibri" w:hAnsi="Calibri"/>
          <w:b/>
          <w:iCs/>
          <w:sz w:val="22"/>
          <w:szCs w:val="22"/>
        </w:rPr>
        <w:t xml:space="preserve"> - 2015</w:t>
      </w:r>
    </w:p>
    <w:p>
      <w:pPr>
        <w:rPr>
          <w:rFonts w:ascii="Calibri" w:hAnsi="Calibri"/>
          <w:b/>
          <w:iCs/>
          <w:sz w:val="22"/>
          <w:szCs w:val="22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894"/>
        <w:gridCol w:w="1404"/>
        <w:gridCol w:w="142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Particulars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Clause of Listing Agreement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Compliance Status</w:t>
            </w:r>
          </w:p>
          <w:p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Yes / No / N.A.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II. Board of Directors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Composition of Board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(IIA)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180"/>
                <w:tab w:val="left" w:pos="284"/>
              </w:tabs>
              <w:ind w:left="0" w:firstLine="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Independent Directors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(IIB)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180"/>
              </w:tabs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Non-executive  Directors’  compensation  &amp; disclosures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(IIC)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180"/>
              </w:tabs>
              <w:ind w:left="284" w:hanging="284"/>
              <w:rPr>
                <w:rFonts w:ascii="Calibri" w:hAnsi="Calibri"/>
                <w:i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iCs/>
                <w:spacing w:val="-2"/>
                <w:sz w:val="22"/>
                <w:szCs w:val="22"/>
              </w:rPr>
              <w:t>Other provisions as to Board and Committees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(IID)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426" w:hanging="426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(E)   Code of Conduct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(IIE)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(F)  Whistle Blower Policy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(IIF)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III. Audit Committee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(III)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Qualified &amp; Independent Audit Committee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(IIIA)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Meeting of Audit Committee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(IIIB)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Powers of Audit Committee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(IIIC)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Role of Audit Committee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(IIID)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Review of Information by Audit Committee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(IIIE)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IV. Nomination and Remuneration Committee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(IV)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V. Subsidiary Companies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VI. Risk Management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VII. Related Party Transactions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VIII. Disclosures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(VIII)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Related Party Transactions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(VIIIA)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Disclosure of Accounting Treatment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(VIIIB)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Will be complied in the Annual Report for 2014-15.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(C) Remuneration of Directors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(VIIIC)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Will be complied in the Annual Report for 2014-15.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val="en-US" w:eastAsia="en-US" w:bidi="ar-SA"/>
              </w:rPr>
              <w:pict>
                <v:shape id="Picture Frame 1026" o:spid="_x0000_s1027" type="#_x0000_t75" style="height:35.25pt;width:104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(D) Management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(VIIID)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Will be complied in the Annual Report for 2014-15.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(E) Shareholders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(VIIIE)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Will be complied in the Annual Report for 2014-15.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numPr>
                <w:ilvl w:val="0"/>
                <w:numId w:val="4"/>
              </w:numPr>
              <w:ind w:left="284" w:hanging="284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Proceeds from public issues, rights issue, preferential issues, etc.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(VIII I)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N.A.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Money raised through the issue has been fully spent.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IX. CEO/CFO Certification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(IX)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Will be complied in the Annual Report for 2014-15.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4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X.  Report on Corporate Governance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(X)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Will be complied in the Annual Report for 2014-15.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XI. Compliance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49 (XI)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Will be complied in the Annual Report for 2014-15.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sectPr>
      <w:pgSz w:w="12240" w:h="15840"/>
      <w:pgMar w:top="1276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13734345">
    <w:nsid w:val="48581DC9"/>
    <w:multiLevelType w:val="multilevel"/>
    <w:tmpl w:val="48581DC9"/>
    <w:lvl w:ilvl="0" w:tentative="1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608156">
    <w:nsid w:val="4E985D1C"/>
    <w:multiLevelType w:val="multilevel"/>
    <w:tmpl w:val="4E985D1C"/>
    <w:lvl w:ilvl="0" w:tentative="1">
      <w:start w:val="9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8915137">
    <w:nsid w:val="6C6A7141"/>
    <w:multiLevelType w:val="multilevel"/>
    <w:tmpl w:val="6C6A7141"/>
    <w:lvl w:ilvl="0" w:tentative="1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755444">
    <w:nsid w:val="3D424DB4"/>
    <w:multiLevelType w:val="multilevel"/>
    <w:tmpl w:val="3D424DB4"/>
    <w:lvl w:ilvl="0" w:tentative="1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18915137"/>
  </w:num>
  <w:num w:numId="2">
    <w:abstractNumId w:val="1213734345"/>
  </w:num>
  <w:num w:numId="3">
    <w:abstractNumId w:val="1027755444"/>
  </w:num>
  <w:num w:numId="4">
    <w:abstractNumId w:val="13186081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emf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436</Words>
  <Characters>2490</Characters>
  <Lines>20</Lines>
  <Paragraphs>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2015-04-08T08:38:00Z</dcterms:created>
  <dc:creator>rupali jagtap</dc:creator>
  <cp:lastModifiedBy>rupali.jagtap</cp:lastModifiedBy>
  <cp:lastPrinted>2015-04-09T10:56:00Z</cp:lastPrinted>
  <dcterms:modified xsi:type="dcterms:W3CDTF">2015-07-13T05:45:37Z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